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1313D" w14:textId="77777777" w:rsidR="00F242C9" w:rsidRDefault="00077C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25DDC" wp14:editId="45E7B3DD">
                <wp:simplePos x="0" y="0"/>
                <wp:positionH relativeFrom="column">
                  <wp:posOffset>3141980</wp:posOffset>
                </wp:positionH>
                <wp:positionV relativeFrom="paragraph">
                  <wp:posOffset>-150437</wp:posOffset>
                </wp:positionV>
                <wp:extent cx="3291840" cy="6733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673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A091EB" w14:textId="77777777" w:rsidR="00077C80" w:rsidRPr="00077C80" w:rsidRDefault="00077C80" w:rsidP="00077C8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77C80">
                              <w:rPr>
                                <w:sz w:val="52"/>
                                <w:szCs w:val="52"/>
                              </w:rPr>
                              <w:t>DATA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25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4pt;margin-top:-11.85pt;width:259.2pt;height:5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" fillcolor="white [3201]" stroked="f" strokeweight=".5pt">
                <v:textbox>
                  <w:txbxContent>
                    <w:p w14:paraId="16A091EB" w14:textId="77777777" w:rsidR="00077C80" w:rsidRPr="00077C80" w:rsidRDefault="00077C80" w:rsidP="00077C8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77C80">
                        <w:rPr>
                          <w:sz w:val="52"/>
                          <w:szCs w:val="52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EBF156" wp14:editId="4A965818">
            <wp:extent cx="2815387" cy="375386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g logo tm_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871" cy="39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ADC4F" w14:textId="77777777" w:rsidR="00077C80" w:rsidRDefault="00077C80"/>
    <w:p w14:paraId="5DD67C9E" w14:textId="77777777" w:rsidR="00077C80" w:rsidRDefault="00077C80"/>
    <w:p w14:paraId="6E135FEF" w14:textId="71CF8677" w:rsidR="000B2152" w:rsidRDefault="00077C80" w:rsidP="00400093">
      <w:pPr>
        <w:jc w:val="center"/>
        <w:rPr>
          <w:b/>
          <w:sz w:val="48"/>
          <w:szCs w:val="48"/>
        </w:rPr>
      </w:pPr>
      <w:r w:rsidRPr="00077C80">
        <w:rPr>
          <w:b/>
          <w:sz w:val="48"/>
          <w:szCs w:val="48"/>
        </w:rPr>
        <w:t>#</w:t>
      </w:r>
      <w:r w:rsidR="00400093">
        <w:rPr>
          <w:b/>
          <w:sz w:val="48"/>
          <w:szCs w:val="48"/>
        </w:rPr>
        <w:t>84X</w:t>
      </w:r>
      <w:r w:rsidRPr="00077C80">
        <w:rPr>
          <w:b/>
          <w:sz w:val="48"/>
          <w:szCs w:val="48"/>
        </w:rPr>
        <w:t xml:space="preserve"> </w:t>
      </w:r>
      <w:r w:rsidR="00400093">
        <w:rPr>
          <w:b/>
          <w:sz w:val="48"/>
          <w:szCs w:val="48"/>
        </w:rPr>
        <w:t xml:space="preserve">Coconut-Beeswax </w:t>
      </w:r>
      <w:r w:rsidRPr="00077C80">
        <w:rPr>
          <w:b/>
          <w:sz w:val="48"/>
          <w:szCs w:val="48"/>
        </w:rPr>
        <w:t xml:space="preserve">Container </w:t>
      </w:r>
      <w:r w:rsidR="00400093">
        <w:rPr>
          <w:b/>
          <w:sz w:val="48"/>
          <w:szCs w:val="48"/>
        </w:rPr>
        <w:t xml:space="preserve">Blend </w:t>
      </w:r>
      <w:r w:rsidRPr="00077C80">
        <w:rPr>
          <w:b/>
          <w:sz w:val="48"/>
          <w:szCs w:val="48"/>
        </w:rPr>
        <w:t>Wax</w:t>
      </w:r>
    </w:p>
    <w:p w14:paraId="53AA3F00" w14:textId="41666FA7" w:rsidR="00397A25" w:rsidRDefault="00400093" w:rsidP="00400093">
      <w:pPr>
        <w:spacing w:before="240"/>
      </w:pPr>
      <w:r w:rsidRPr="00400093">
        <w:t>#84X is a blend of all-natural organic coconut</w:t>
      </w:r>
      <w:r w:rsidR="00DE2B9B">
        <w:t xml:space="preserve">, </w:t>
      </w:r>
      <w:r>
        <w:t>bees</w:t>
      </w:r>
      <w:r w:rsidRPr="00400093">
        <w:t xml:space="preserve">wax and other natural quality ingredients. </w:t>
      </w:r>
      <w:r w:rsidR="00591031">
        <w:t xml:space="preserve">It does contain a small amount of paraffin to help bind the oils in making this wax. </w:t>
      </w:r>
      <w:r w:rsidRPr="00400093">
        <w:t xml:space="preserve">It has excellent color retention, jar adhesion, hot and cold scent throw, and is very clean burning. No additives are required. It is also blended to eliminate frosting </w:t>
      </w:r>
      <w:r>
        <w:t>in</w:t>
      </w:r>
      <w:r w:rsidRPr="00400093">
        <w:t xml:space="preserve"> colored candles</w:t>
      </w:r>
      <w:r>
        <w:t xml:space="preserve"> </w:t>
      </w:r>
      <w:r w:rsidRPr="00400093">
        <w:t>and is a one pour blend. It has a smooth surface and burns cooler</w:t>
      </w:r>
      <w:r>
        <w:t>,</w:t>
      </w:r>
      <w:r w:rsidRPr="00400093">
        <w:t xml:space="preserve"> so it burns longer. </w:t>
      </w:r>
    </w:p>
    <w:p w14:paraId="3ABA3852" w14:textId="77777777" w:rsidR="00400093" w:rsidRDefault="00400093" w:rsidP="00077C80"/>
    <w:p w14:paraId="453FBD97" w14:textId="0DA36A98" w:rsidR="00077C80" w:rsidRDefault="00077C80" w:rsidP="00077C80">
      <w:r w:rsidRPr="00077C80">
        <w:t>As with all</w:t>
      </w:r>
      <w:r w:rsidR="00854102">
        <w:t>-</w:t>
      </w:r>
      <w:r w:rsidRPr="00077C80">
        <w:t xml:space="preserve">natural products, </w:t>
      </w:r>
      <w:bookmarkStart w:id="0" w:name="_GoBack"/>
      <w:bookmarkEnd w:id="0"/>
      <w:r w:rsidRPr="00077C80">
        <w:t>blends can vary slightly from batch to batch.</w:t>
      </w:r>
    </w:p>
    <w:p w14:paraId="3959147C" w14:textId="77777777" w:rsidR="00077C80" w:rsidRDefault="00077C80" w:rsidP="00077C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7C80" w14:paraId="0D2C491E" w14:textId="77777777" w:rsidTr="00077C80">
        <w:tc>
          <w:tcPr>
            <w:tcW w:w="3116" w:type="dxa"/>
          </w:tcPr>
          <w:p w14:paraId="2973AF97" w14:textId="77777777" w:rsidR="00077C80" w:rsidRPr="00077C80" w:rsidRDefault="00077C80" w:rsidP="00077C80">
            <w:pPr>
              <w:jc w:val="center"/>
              <w:rPr>
                <w:b/>
                <w:sz w:val="20"/>
                <w:szCs w:val="20"/>
              </w:rPr>
            </w:pPr>
            <w:r w:rsidRPr="00077C80">
              <w:rPr>
                <w:b/>
                <w:sz w:val="20"/>
                <w:szCs w:val="20"/>
              </w:rPr>
              <w:t>Physical Properties</w:t>
            </w:r>
          </w:p>
        </w:tc>
        <w:tc>
          <w:tcPr>
            <w:tcW w:w="3117" w:type="dxa"/>
          </w:tcPr>
          <w:p w14:paraId="562405D3" w14:textId="77777777" w:rsidR="00077C80" w:rsidRPr="00077C80" w:rsidRDefault="00077C80" w:rsidP="00077C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Specifications</w:t>
            </w:r>
          </w:p>
        </w:tc>
        <w:tc>
          <w:tcPr>
            <w:tcW w:w="3117" w:type="dxa"/>
          </w:tcPr>
          <w:p w14:paraId="3F0064EA" w14:textId="77777777" w:rsidR="00077C80" w:rsidRPr="00077C80" w:rsidRDefault="00077C80" w:rsidP="00077C80">
            <w:pPr>
              <w:jc w:val="center"/>
              <w:rPr>
                <w:b/>
                <w:sz w:val="20"/>
                <w:szCs w:val="20"/>
              </w:rPr>
            </w:pPr>
            <w:r w:rsidRPr="00077C80">
              <w:rPr>
                <w:b/>
                <w:sz w:val="20"/>
                <w:szCs w:val="20"/>
              </w:rPr>
              <w:t>ASTM Method</w:t>
            </w:r>
          </w:p>
        </w:tc>
      </w:tr>
      <w:tr w:rsidR="00077C80" w14:paraId="5A75EE3A" w14:textId="77777777" w:rsidTr="00077C80">
        <w:tc>
          <w:tcPr>
            <w:tcW w:w="3116" w:type="dxa"/>
          </w:tcPr>
          <w:p w14:paraId="76FDAAC8" w14:textId="77777777" w:rsidR="00077C80" w:rsidRPr="00077C80" w:rsidRDefault="00077C80" w:rsidP="00077C80">
            <w:pPr>
              <w:rPr>
                <w:sz w:val="20"/>
                <w:szCs w:val="20"/>
              </w:rPr>
            </w:pPr>
            <w:r w:rsidRPr="00077C80">
              <w:rPr>
                <w:sz w:val="20"/>
                <w:szCs w:val="20"/>
              </w:rPr>
              <w:t>Melting Point (ºF)</w:t>
            </w:r>
          </w:p>
        </w:tc>
        <w:tc>
          <w:tcPr>
            <w:tcW w:w="3117" w:type="dxa"/>
          </w:tcPr>
          <w:p w14:paraId="7C8DC545" w14:textId="488304CA" w:rsidR="00077C80" w:rsidRPr="00077C80" w:rsidRDefault="00077C80" w:rsidP="00077C80">
            <w:pPr>
              <w:jc w:val="center"/>
              <w:rPr>
                <w:sz w:val="20"/>
                <w:szCs w:val="20"/>
              </w:rPr>
            </w:pPr>
            <w:r w:rsidRPr="00077C80">
              <w:rPr>
                <w:sz w:val="20"/>
                <w:szCs w:val="20"/>
              </w:rPr>
              <w:t>1</w:t>
            </w:r>
            <w:r w:rsidR="00400093">
              <w:rPr>
                <w:sz w:val="20"/>
                <w:szCs w:val="20"/>
              </w:rPr>
              <w:t>18</w:t>
            </w:r>
          </w:p>
        </w:tc>
        <w:tc>
          <w:tcPr>
            <w:tcW w:w="3117" w:type="dxa"/>
          </w:tcPr>
          <w:p w14:paraId="65D5E9C4" w14:textId="77777777" w:rsidR="00077C80" w:rsidRPr="00077C80" w:rsidRDefault="00077C80" w:rsidP="00077C80">
            <w:pPr>
              <w:jc w:val="center"/>
              <w:rPr>
                <w:sz w:val="20"/>
                <w:szCs w:val="20"/>
              </w:rPr>
            </w:pPr>
            <w:r w:rsidRPr="00077C80">
              <w:rPr>
                <w:sz w:val="20"/>
                <w:szCs w:val="20"/>
              </w:rPr>
              <w:t>D-87</w:t>
            </w:r>
          </w:p>
        </w:tc>
      </w:tr>
      <w:tr w:rsidR="00077C80" w14:paraId="231FD895" w14:textId="77777777" w:rsidTr="00077C80">
        <w:tc>
          <w:tcPr>
            <w:tcW w:w="3116" w:type="dxa"/>
          </w:tcPr>
          <w:p w14:paraId="669376DE" w14:textId="77777777" w:rsidR="00077C80" w:rsidRPr="00077C80" w:rsidRDefault="00077C80" w:rsidP="00077C80">
            <w:pPr>
              <w:rPr>
                <w:sz w:val="20"/>
                <w:szCs w:val="20"/>
              </w:rPr>
            </w:pPr>
            <w:r w:rsidRPr="00077C80">
              <w:rPr>
                <w:sz w:val="20"/>
                <w:szCs w:val="20"/>
              </w:rPr>
              <w:t>Congealing Point (ºF)</w:t>
            </w:r>
          </w:p>
        </w:tc>
        <w:tc>
          <w:tcPr>
            <w:tcW w:w="3117" w:type="dxa"/>
          </w:tcPr>
          <w:p w14:paraId="424418E3" w14:textId="3D8FD935" w:rsidR="00077C80" w:rsidRPr="00077C80" w:rsidRDefault="00400093" w:rsidP="00077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117" w:type="dxa"/>
          </w:tcPr>
          <w:p w14:paraId="497B8811" w14:textId="77777777" w:rsidR="00077C80" w:rsidRPr="00077C80" w:rsidRDefault="00077C80" w:rsidP="00077C80">
            <w:pPr>
              <w:jc w:val="center"/>
              <w:rPr>
                <w:sz w:val="20"/>
                <w:szCs w:val="20"/>
              </w:rPr>
            </w:pPr>
            <w:r w:rsidRPr="00077C80">
              <w:rPr>
                <w:sz w:val="20"/>
                <w:szCs w:val="20"/>
              </w:rPr>
              <w:t>D-938</w:t>
            </w:r>
          </w:p>
        </w:tc>
      </w:tr>
      <w:tr w:rsidR="00077C80" w14:paraId="6245BAFD" w14:textId="77777777" w:rsidTr="00077C80">
        <w:tc>
          <w:tcPr>
            <w:tcW w:w="3116" w:type="dxa"/>
          </w:tcPr>
          <w:p w14:paraId="17C48EE5" w14:textId="77777777" w:rsidR="00077C80" w:rsidRPr="00077C80" w:rsidRDefault="00077C80" w:rsidP="00077C80">
            <w:pPr>
              <w:rPr>
                <w:sz w:val="20"/>
                <w:szCs w:val="20"/>
              </w:rPr>
            </w:pPr>
            <w:r w:rsidRPr="00077C80">
              <w:rPr>
                <w:sz w:val="20"/>
                <w:szCs w:val="20"/>
              </w:rPr>
              <w:t>Needle Penetration @ 77 (ºF)</w:t>
            </w:r>
          </w:p>
        </w:tc>
        <w:tc>
          <w:tcPr>
            <w:tcW w:w="3117" w:type="dxa"/>
          </w:tcPr>
          <w:p w14:paraId="6AAA9498" w14:textId="7756D0DB" w:rsidR="00077C80" w:rsidRPr="00077C80" w:rsidRDefault="00077C80" w:rsidP="00077C80">
            <w:pPr>
              <w:jc w:val="center"/>
              <w:rPr>
                <w:sz w:val="20"/>
                <w:szCs w:val="20"/>
              </w:rPr>
            </w:pPr>
            <w:r w:rsidRPr="00077C80">
              <w:rPr>
                <w:sz w:val="20"/>
                <w:szCs w:val="20"/>
              </w:rPr>
              <w:t>5</w:t>
            </w:r>
            <w:r w:rsidR="00400093">
              <w:rPr>
                <w:sz w:val="20"/>
                <w:szCs w:val="20"/>
              </w:rPr>
              <w:t>0</w:t>
            </w:r>
            <w:r w:rsidRPr="00077C80">
              <w:rPr>
                <w:sz w:val="20"/>
                <w:szCs w:val="20"/>
              </w:rPr>
              <w:t xml:space="preserve"> </w:t>
            </w:r>
            <w:proofErr w:type="spellStart"/>
            <w:r w:rsidRPr="00077C80">
              <w:rPr>
                <w:sz w:val="20"/>
                <w:szCs w:val="20"/>
              </w:rPr>
              <w:t>dmm</w:t>
            </w:r>
            <w:proofErr w:type="spellEnd"/>
          </w:p>
        </w:tc>
        <w:tc>
          <w:tcPr>
            <w:tcW w:w="3117" w:type="dxa"/>
          </w:tcPr>
          <w:p w14:paraId="2D138E45" w14:textId="77777777" w:rsidR="00077C80" w:rsidRPr="00077C80" w:rsidRDefault="00077C80" w:rsidP="00077C80">
            <w:pPr>
              <w:jc w:val="center"/>
              <w:rPr>
                <w:sz w:val="20"/>
                <w:szCs w:val="20"/>
              </w:rPr>
            </w:pPr>
            <w:r w:rsidRPr="00077C80">
              <w:rPr>
                <w:sz w:val="20"/>
                <w:szCs w:val="20"/>
              </w:rPr>
              <w:t>D-1321</w:t>
            </w:r>
          </w:p>
        </w:tc>
      </w:tr>
      <w:tr w:rsidR="00077C80" w14:paraId="616D4682" w14:textId="77777777" w:rsidTr="00077C80">
        <w:tc>
          <w:tcPr>
            <w:tcW w:w="3116" w:type="dxa"/>
          </w:tcPr>
          <w:p w14:paraId="28237885" w14:textId="77777777" w:rsidR="00077C80" w:rsidRPr="00077C80" w:rsidRDefault="00077C80" w:rsidP="00077C80">
            <w:pPr>
              <w:rPr>
                <w:sz w:val="20"/>
                <w:szCs w:val="20"/>
              </w:rPr>
            </w:pPr>
            <w:r w:rsidRPr="00077C80">
              <w:rPr>
                <w:sz w:val="20"/>
                <w:szCs w:val="20"/>
              </w:rPr>
              <w:t>Color, ASTM</w:t>
            </w:r>
          </w:p>
        </w:tc>
        <w:tc>
          <w:tcPr>
            <w:tcW w:w="3117" w:type="dxa"/>
          </w:tcPr>
          <w:p w14:paraId="73D33C69" w14:textId="77777777" w:rsidR="00077C80" w:rsidRPr="00077C80" w:rsidRDefault="00077C80" w:rsidP="00077C80">
            <w:pPr>
              <w:jc w:val="center"/>
              <w:rPr>
                <w:sz w:val="20"/>
                <w:szCs w:val="20"/>
              </w:rPr>
            </w:pPr>
            <w:r w:rsidRPr="00077C80">
              <w:rPr>
                <w:sz w:val="20"/>
                <w:szCs w:val="20"/>
              </w:rPr>
              <w:t>L 05</w:t>
            </w:r>
          </w:p>
        </w:tc>
        <w:tc>
          <w:tcPr>
            <w:tcW w:w="3117" w:type="dxa"/>
          </w:tcPr>
          <w:p w14:paraId="09C18DE5" w14:textId="77777777" w:rsidR="00077C80" w:rsidRPr="00077C80" w:rsidRDefault="00077C80" w:rsidP="00077C80">
            <w:pPr>
              <w:jc w:val="center"/>
              <w:rPr>
                <w:sz w:val="20"/>
                <w:szCs w:val="20"/>
              </w:rPr>
            </w:pPr>
            <w:r w:rsidRPr="00077C80">
              <w:rPr>
                <w:sz w:val="20"/>
                <w:szCs w:val="20"/>
              </w:rPr>
              <w:t>D-1500</w:t>
            </w:r>
          </w:p>
        </w:tc>
      </w:tr>
      <w:tr w:rsidR="00077C80" w14:paraId="3F56B9D8" w14:textId="77777777" w:rsidTr="00077C80">
        <w:tc>
          <w:tcPr>
            <w:tcW w:w="3116" w:type="dxa"/>
          </w:tcPr>
          <w:p w14:paraId="3836CB89" w14:textId="77777777" w:rsidR="00077C80" w:rsidRPr="00077C80" w:rsidRDefault="00077C80" w:rsidP="00077C80">
            <w:pPr>
              <w:rPr>
                <w:sz w:val="20"/>
                <w:szCs w:val="20"/>
              </w:rPr>
            </w:pPr>
            <w:r w:rsidRPr="00077C80">
              <w:rPr>
                <w:sz w:val="20"/>
                <w:szCs w:val="20"/>
              </w:rPr>
              <w:t>Appearance</w:t>
            </w:r>
          </w:p>
        </w:tc>
        <w:tc>
          <w:tcPr>
            <w:tcW w:w="3117" w:type="dxa"/>
          </w:tcPr>
          <w:p w14:paraId="292B063C" w14:textId="77777777" w:rsidR="00077C80" w:rsidRPr="00077C80" w:rsidRDefault="00077C80" w:rsidP="00077C80">
            <w:pPr>
              <w:jc w:val="center"/>
              <w:rPr>
                <w:sz w:val="20"/>
                <w:szCs w:val="20"/>
              </w:rPr>
            </w:pPr>
            <w:r w:rsidRPr="00077C80">
              <w:rPr>
                <w:sz w:val="20"/>
                <w:szCs w:val="20"/>
              </w:rPr>
              <w:t>Soft, Creamy, Opaque</w:t>
            </w:r>
          </w:p>
        </w:tc>
        <w:tc>
          <w:tcPr>
            <w:tcW w:w="3117" w:type="dxa"/>
          </w:tcPr>
          <w:p w14:paraId="729AFFDD" w14:textId="77777777" w:rsidR="00077C80" w:rsidRPr="00077C80" w:rsidRDefault="00077C80" w:rsidP="00077C80">
            <w:pPr>
              <w:jc w:val="center"/>
              <w:rPr>
                <w:sz w:val="20"/>
                <w:szCs w:val="20"/>
              </w:rPr>
            </w:pPr>
          </w:p>
        </w:tc>
      </w:tr>
      <w:tr w:rsidR="00805189" w14:paraId="43581164" w14:textId="77777777" w:rsidTr="00077C80">
        <w:tc>
          <w:tcPr>
            <w:tcW w:w="3116" w:type="dxa"/>
          </w:tcPr>
          <w:p w14:paraId="7D247758" w14:textId="77777777" w:rsidR="00805189" w:rsidRPr="00077C80" w:rsidRDefault="00805189" w:rsidP="00077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Fragrance Load</w:t>
            </w:r>
          </w:p>
        </w:tc>
        <w:tc>
          <w:tcPr>
            <w:tcW w:w="3117" w:type="dxa"/>
          </w:tcPr>
          <w:p w14:paraId="7B03700A" w14:textId="347C1E95" w:rsidR="00805189" w:rsidRPr="00077C80" w:rsidRDefault="00400093" w:rsidP="00077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5189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Max</w:t>
            </w:r>
          </w:p>
        </w:tc>
        <w:tc>
          <w:tcPr>
            <w:tcW w:w="3117" w:type="dxa"/>
          </w:tcPr>
          <w:p w14:paraId="4DEE2040" w14:textId="77777777" w:rsidR="00805189" w:rsidRPr="00077C80" w:rsidRDefault="00805189" w:rsidP="00077C8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9FF083" w14:textId="77777777" w:rsidR="00077C80" w:rsidRDefault="00077C80" w:rsidP="00077C80"/>
    <w:p w14:paraId="26DA9A7F" w14:textId="77777777" w:rsidR="00077C80" w:rsidRPr="00077C80" w:rsidRDefault="00397A25" w:rsidP="00077C80">
      <w:pPr>
        <w:rPr>
          <w:b/>
        </w:rPr>
      </w:pPr>
      <w:r>
        <w:rPr>
          <w:b/>
        </w:rPr>
        <w:t>Manufacturer’s Recommended Directions/</w:t>
      </w:r>
      <w:r w:rsidR="00077C80" w:rsidRPr="00077C80">
        <w:rPr>
          <w:b/>
        </w:rPr>
        <w:t>How to Use:</w:t>
      </w:r>
    </w:p>
    <w:p w14:paraId="388A2F28" w14:textId="5BA5FEA6" w:rsidR="00400093" w:rsidRDefault="00400093" w:rsidP="00077C80">
      <w:r w:rsidRPr="00400093">
        <w:t>Heat to 200-210º</w:t>
      </w:r>
      <w:r>
        <w:t xml:space="preserve"> </w:t>
      </w:r>
      <w:r w:rsidRPr="00400093">
        <w:t>F, remove from heat source, add fragrance oil and dye, blend and stir while cooling</w:t>
      </w:r>
      <w:r>
        <w:t>. P</w:t>
      </w:r>
      <w:r w:rsidRPr="00400093">
        <w:t>our at 200º</w:t>
      </w:r>
      <w:r>
        <w:t xml:space="preserve"> </w:t>
      </w:r>
      <w:r w:rsidRPr="00400093">
        <w:t>F for best results. For consistently smooth results, it is recommended to pour hot @200-210º</w:t>
      </w:r>
      <w:r>
        <w:t xml:space="preserve"> </w:t>
      </w:r>
      <w:r w:rsidRPr="00400093">
        <w:t>F. All our natural blends were formulated to pour hot (200 to 210ºF) for slower cooling rate which will result in consistently smoother looking candles and minimize any blooming.</w:t>
      </w:r>
      <w:r>
        <w:t xml:space="preserve"> F</w:t>
      </w:r>
      <w:r w:rsidRPr="00400093">
        <w:t>ragrance load is 8%</w:t>
      </w:r>
      <w:r>
        <w:t xml:space="preserve"> max</w:t>
      </w:r>
      <w:r w:rsidRPr="00400093">
        <w:t>, but higher loads should be tested per fragrance.</w:t>
      </w:r>
    </w:p>
    <w:p w14:paraId="35FEFB27" w14:textId="77777777" w:rsidR="00400093" w:rsidRDefault="00400093" w:rsidP="00077C80"/>
    <w:p w14:paraId="75DB2CB3" w14:textId="77777777" w:rsidR="00400093" w:rsidRDefault="00400093" w:rsidP="00077C80">
      <w:r w:rsidRPr="00400093">
        <w:t>For thick glass and or cooler room temperatures below 65º</w:t>
      </w:r>
      <w:r>
        <w:t xml:space="preserve"> </w:t>
      </w:r>
      <w:r w:rsidRPr="00400093">
        <w:t>F, pre-heating the glass is recommended and pour at 200º</w:t>
      </w:r>
      <w:r>
        <w:t xml:space="preserve"> </w:t>
      </w:r>
      <w:r w:rsidRPr="00400093">
        <w:t xml:space="preserve">F. For smoother top surfaces, it is recommended to heat lamp the surface after candle has set up. </w:t>
      </w:r>
    </w:p>
    <w:p w14:paraId="6E956442" w14:textId="77777777" w:rsidR="00077C80" w:rsidRDefault="00077C80" w:rsidP="00077C80"/>
    <w:p w14:paraId="743420CC" w14:textId="77777777" w:rsidR="00077C80" w:rsidRPr="00077C80" w:rsidRDefault="00077C80" w:rsidP="00077C80">
      <w:pPr>
        <w:rPr>
          <w:b/>
        </w:rPr>
      </w:pPr>
      <w:r w:rsidRPr="00077C80">
        <w:rPr>
          <w:b/>
        </w:rPr>
        <w:t xml:space="preserve">FDA Status </w:t>
      </w:r>
    </w:p>
    <w:p w14:paraId="0AD2710E" w14:textId="7B5B53D5" w:rsidR="00077C80" w:rsidRDefault="00400093" w:rsidP="00077C80">
      <w:r w:rsidRPr="00400093">
        <w:t>This product meets USP requirements and FDA requirements for use in non-food articles in contact with food as per 21 CFR 172.880.</w:t>
      </w:r>
    </w:p>
    <w:p w14:paraId="79AC1281" w14:textId="77777777" w:rsidR="00400093" w:rsidRDefault="00400093" w:rsidP="00077C80"/>
    <w:p w14:paraId="4647CEFF" w14:textId="77777777" w:rsidR="00077C80" w:rsidRPr="00077C80" w:rsidRDefault="00077C80" w:rsidP="00077C80">
      <w:pPr>
        <w:rPr>
          <w:b/>
        </w:rPr>
      </w:pPr>
      <w:r w:rsidRPr="00077C80">
        <w:rPr>
          <w:b/>
        </w:rPr>
        <w:t xml:space="preserve">Health and Safety </w:t>
      </w:r>
    </w:p>
    <w:p w14:paraId="3CEF3E4F" w14:textId="2660162A" w:rsidR="00397A25" w:rsidRDefault="00400093" w:rsidP="00077C80">
      <w:r w:rsidRPr="00400093">
        <w:t>Please contact us for Health and Safety recommendations for this product on the Material Safety Data Sheet (MSDS).</w:t>
      </w:r>
    </w:p>
    <w:p w14:paraId="1DBC50FC" w14:textId="77777777" w:rsidR="00400093" w:rsidRDefault="00400093" w:rsidP="00077C80"/>
    <w:p w14:paraId="41362561" w14:textId="77777777" w:rsidR="00077C80" w:rsidRPr="00397A25" w:rsidRDefault="00397A25" w:rsidP="00077C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Statement of </w:t>
      </w:r>
      <w:r w:rsidR="00077C80" w:rsidRPr="00397A25">
        <w:rPr>
          <w:b/>
          <w:sz w:val="20"/>
          <w:szCs w:val="20"/>
        </w:rPr>
        <w:t>Warranty</w:t>
      </w:r>
      <w:r>
        <w:rPr>
          <w:b/>
          <w:sz w:val="20"/>
          <w:szCs w:val="20"/>
        </w:rPr>
        <w:t>/</w:t>
      </w:r>
      <w:r w:rsidR="00077C80" w:rsidRPr="00397A25">
        <w:rPr>
          <w:b/>
          <w:sz w:val="20"/>
          <w:szCs w:val="20"/>
        </w:rPr>
        <w:t xml:space="preserve">Disclaimer </w:t>
      </w:r>
    </w:p>
    <w:p w14:paraId="4DA28843" w14:textId="3FA05C64" w:rsidR="00077C80" w:rsidRPr="004F22C0" w:rsidRDefault="00077C80" w:rsidP="00077C80">
      <w:pPr>
        <w:rPr>
          <w:sz w:val="20"/>
          <w:szCs w:val="20"/>
        </w:rPr>
      </w:pPr>
      <w:r w:rsidRPr="00397A25">
        <w:rPr>
          <w:sz w:val="20"/>
          <w:szCs w:val="20"/>
        </w:rPr>
        <w:t xml:space="preserve">The information contained in this document is based on </w:t>
      </w:r>
      <w:r w:rsidR="00397A25" w:rsidRPr="00397A25">
        <w:rPr>
          <w:sz w:val="20"/>
          <w:szCs w:val="20"/>
        </w:rPr>
        <w:t xml:space="preserve">manufacturer </w:t>
      </w:r>
      <w:r w:rsidRPr="00397A25">
        <w:rPr>
          <w:sz w:val="20"/>
          <w:szCs w:val="20"/>
        </w:rPr>
        <w:t>test</w:t>
      </w:r>
      <w:r w:rsidR="00397A25" w:rsidRPr="00397A25">
        <w:rPr>
          <w:sz w:val="20"/>
          <w:szCs w:val="20"/>
        </w:rPr>
        <w:t>ing</w:t>
      </w:r>
      <w:r w:rsidRPr="00397A25">
        <w:rPr>
          <w:sz w:val="20"/>
          <w:szCs w:val="20"/>
        </w:rPr>
        <w:t xml:space="preserve">. As actual conditions of use may vary and are beyond the control </w:t>
      </w:r>
      <w:r w:rsidR="00397A25" w:rsidRPr="00397A25">
        <w:rPr>
          <w:sz w:val="20"/>
          <w:szCs w:val="20"/>
        </w:rPr>
        <w:t>West Coast Candle Supply</w:t>
      </w:r>
      <w:r w:rsidR="00DE2B9B">
        <w:rPr>
          <w:rFonts w:ascii="Calibri" w:hAnsi="Calibri" w:cs="Calibri"/>
          <w:sz w:val="20"/>
          <w:szCs w:val="20"/>
        </w:rPr>
        <w:t>™</w:t>
      </w:r>
      <w:r w:rsidR="00397A25" w:rsidRPr="00397A25">
        <w:rPr>
          <w:sz w:val="20"/>
          <w:szCs w:val="20"/>
        </w:rPr>
        <w:t xml:space="preserve"> and it’s supplying manufacturers</w:t>
      </w:r>
      <w:r w:rsidRPr="00397A25">
        <w:rPr>
          <w:sz w:val="20"/>
          <w:szCs w:val="20"/>
        </w:rPr>
        <w:t xml:space="preserve">, the products specified characteristics cannot be guaranteed and are offered solely for the buyer evaluation and verification. There are no expressed or implied warranties of merchantability or fitness for a particular purpose made by </w:t>
      </w:r>
      <w:r w:rsidR="00397A25" w:rsidRPr="00397A25">
        <w:rPr>
          <w:sz w:val="20"/>
          <w:szCs w:val="20"/>
        </w:rPr>
        <w:t>West Coast Candle Supply or it’s supplier</w:t>
      </w:r>
      <w:r w:rsidRPr="00397A25">
        <w:rPr>
          <w:sz w:val="20"/>
          <w:szCs w:val="20"/>
        </w:rPr>
        <w:t xml:space="preserve"> </w:t>
      </w:r>
      <w:r w:rsidR="00397A25" w:rsidRPr="00397A25">
        <w:rPr>
          <w:sz w:val="20"/>
          <w:szCs w:val="20"/>
        </w:rPr>
        <w:t xml:space="preserve">(including </w:t>
      </w:r>
      <w:r w:rsidRPr="00397A25">
        <w:rPr>
          <w:sz w:val="20"/>
          <w:szCs w:val="20"/>
        </w:rPr>
        <w:t>its directors, officers, employees, or affiliates</w:t>
      </w:r>
      <w:r w:rsidR="00397A25" w:rsidRPr="00397A25">
        <w:rPr>
          <w:sz w:val="20"/>
          <w:szCs w:val="20"/>
        </w:rPr>
        <w:t xml:space="preserve">) </w:t>
      </w:r>
      <w:r w:rsidRPr="00397A25">
        <w:rPr>
          <w:sz w:val="20"/>
          <w:szCs w:val="20"/>
        </w:rPr>
        <w:t>in connection with the sale of the products.</w:t>
      </w:r>
    </w:p>
    <w:sectPr w:rsidR="00077C80" w:rsidRPr="004F22C0" w:rsidSect="00AE5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80"/>
    <w:rsid w:val="00077C80"/>
    <w:rsid w:val="000B2152"/>
    <w:rsid w:val="003160B4"/>
    <w:rsid w:val="00365F74"/>
    <w:rsid w:val="00397A25"/>
    <w:rsid w:val="003E09FB"/>
    <w:rsid w:val="00400093"/>
    <w:rsid w:val="004F22C0"/>
    <w:rsid w:val="00591031"/>
    <w:rsid w:val="0074681E"/>
    <w:rsid w:val="00805189"/>
    <w:rsid w:val="00854102"/>
    <w:rsid w:val="00876313"/>
    <w:rsid w:val="00AE5795"/>
    <w:rsid w:val="00B41366"/>
    <w:rsid w:val="00C11626"/>
    <w:rsid w:val="00D339CC"/>
    <w:rsid w:val="00DE2B9B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B12E"/>
  <w14:defaultImageDpi w14:val="32767"/>
  <w15:chartTrackingRefBased/>
  <w15:docId w15:val="{0F22D82F-985A-1946-8288-D73777B8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C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8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77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Loucks</dc:creator>
  <cp:keywords/>
  <dc:description/>
  <cp:lastModifiedBy>Tammi Loucks</cp:lastModifiedBy>
  <cp:revision>3</cp:revision>
  <cp:lastPrinted>2021-03-12T16:31:00Z</cp:lastPrinted>
  <dcterms:created xsi:type="dcterms:W3CDTF">2021-09-15T15:42:00Z</dcterms:created>
  <dcterms:modified xsi:type="dcterms:W3CDTF">2021-09-15T15:56:00Z</dcterms:modified>
</cp:coreProperties>
</file>